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103</w:t>
      </w:r>
    </w:p>
    <w:p>
      <w:r>
        <w:t>Bundesgericht (BGE), 1989-08-18, DE</w:t>
      </w:r>
    </w:p>
    <w:p>
      <w:r>
        <w:rPr>
          <w:b/>
        </w:rPr>
        <w:t xml:space="preserve">Quelle: </w:t>
      </w:r>
      <w:r>
        <w:t>https://mcp.opencaselaw.ch/entscheid/bge_115 III 103</w:t>
      </w:r>
    </w:p>
    <w:p>
      <w:r>
        <w:t>FR: ATF 115 III 103</w:t>
      </w:r>
    </w:p>
    <w:p>
      <w:r>
        <w:t>IT: DTF 115 III 103</w:t>
      </w:r>
    </w:p>
    <w:p>
      <w:pPr>
        <w:pStyle w:val="Heading2"/>
      </w:pPr>
      <w:r>
        <w:t>Regeste</w:t>
      </w:r>
    </w:p>
    <w:p>
      <w:r>
        <w:t>Regeste Pfändung der dem Ehegatten nach Art. 159, 163 und 164 ZGB zustehenden Beträge. 1. Ein sich aus der ehelichen Beistandspflicht ergebender Anspruch ist nicht pfändbar, soweit er nicht zum ehelichen Unterhalt im Sinne von Art. 163 oder 164 ZGB gehört (E. 3b). 2. Kann auch bei gemeinsamen Haushalt ein Anspruch nach Art. 163 ZGB gepfändet werden (E. 3a)? 3. Die Unterhaltskosten für ein nichtgemeinsames Kind gehören nicht zum ehelichen Unterhalt, soweit der Elternteil für sie nicht die Beistandspflicht seines Ehegatten beanspruchen kann (E. 4 und 5). 4. Die Unterhaltspflicht gegenüber einem nichtgemeinsamen Kind hängt nicht mit den erweiterten persönlichen Bedürfnissen des unterhaltspflichtigen Elternteils zusammen. Für die Alimentenschuld können deshalb nicht die Leistungen gepfändet werden, die dem Alimentenschuldner gegenüber seinem Ehegatten nach Art. 164 ZGB zustehen (E. 6). 5. Frage, wie sich die Alimentenschuld gegenüber einem nichtgemeinsamen Kind auf die Berechnung des gemeinsamen Notbedarfs der Ehegatten auswirkt, offengelassen (E. 7).</w:t>
      </w:r>
    </w:p>
    <w:p>
      <w:pPr>
        <w:pStyle w:val="Heading2"/>
      </w:pPr>
      <w:r>
        <w:t>Erwägungen</w:t>
      </w:r>
    </w:p>
    <w:p>
      <w:r>
        <w:rPr>
          <w:b/>
        </w:rPr>
        <w:t>E. 2</w:t>
      </w:r>
    </w:p>
    <w:p>
      <w:r>
        <w:t>Die Pfändung des angeblichen eherechtlichen Guthabens des Schuldners gegenüber seiner Ehefrau als bestrittene Forderung setzt voraus, dass es sich um einen Anspruch handelt, der grundsätzlich der Pfändung zugänglich ist und auf den für die in Betreibung gesetzte Forderung gegriffen werden kann. Diese Voraussetzungen sind für Art. 163 und 164 getrennt zu prüfen.</w:t>
      </w:r>
    </w:p>
    <w:p>
      <w:r>
        <w:rPr>
          <w:b/>
        </w:rPr>
        <w:t>E. 3</w:t>
      </w:r>
    </w:p>
    <w:p>
      <w:r>
        <w:t>a) Ob ein Anspruch nach Art. 163 ZGB bei gemeinsamem Haushalt überhaupt pfändbar ist, wird in der Lehre nicht einheitlich beurteilt (Pfändbarkeit grundsätzlich ausschliessend: ISAAK MEIER, Die Stellung des Gläubigers im neuen Eherecht, SJZ 85 (1989), S. 243; grundsätzlich zulassend: HAUSHEER/REUSSER/GEISER, Kommentar zum neuen Eherecht, Bern 1989, N. 66 zu Art. 163 ZGB ). Das Bundesgericht musste zu dieser Frage bis jetzt nicht Stellung nehmen, hat aber in BGE 114 III 87 E. 5 nebenbei durchblicken lassen, die Pfändbarkeit der Ansprüche nach Art. 163 ZGB grundsätzlich in gleicher Weise zulassen zu wollen, wie jene nach Art. 164 ZGB . Von der Zweckbestimmung der Unterhaltsansprüche unter Ehegatten her kann somit im vorliegenden Fall zum vornherein nur insoweit eine Pfändung der Forderung nach Art. 163 ZGB in Frage kommen, als Roland H. BGE 115 III 103 S. 106 gegenüber seiner Frau ein Anspruch zusteht, der die Tilgung seiner Unterhaltsschuld gegenüber dem nicht gemeinsamen Kind bezweckt. b) Aus der Beistandspflicht unter Ehegatten ( Art. 159 ZGB ) und aus Art. 278 Abs. 2 ZGB ergibt sich, dass ein Ehegatte den anderen bei der Erfüllung seiner gesetzlichen, Dritte betreffenden Unterhaltspflichten insoweit zu unterstützen hat, als ihm dies zumutbar ist. Dieser Beistand besteht in erster Linie darin, dass der eine Ehegatte mehr an den ehelichen Unterhalt leistet, damit der andere vermehrt sein Einkommen für seine Unterhaltspflichten einsetzen kann. Der Ehegatte kann aber auch verpflichtet sein, dem anderen gewisse Geldmittel zur Erfüllung seiner Unterhaltspflicht zur Verfügung zu stellen (vgl. HAUSHEER/REUSSER/GEISER, a.a.O., N. 41 zu Art. 159 ZGB ). Aufgrund der Beschränkung des Richters in Art. 172 Abs. 3 ZGB auf die im Gesetz vorgesehenen Massnahmen ergibt sich aber, dass diese Verpflichtung nur insoweit erzwingbar und demnach pfändbar ist, als sie vom ehelichen Unterhalt gemäss Art. 163 und 164 ZGB erfasst wird (HAUSEEER/REUSSER/GEISER, a.a.O., N. 47 zu Art. 159 ZGB ).</w:t>
      </w:r>
    </w:p>
    <w:p>
      <w:r>
        <w:rPr>
          <w:b/>
        </w:rPr>
        <w:t>E. 4</w:t>
      </w:r>
    </w:p>
    <w:p>
      <w:r>
        <w:t>Wieweit die Unterhaltskosten der Kinder nur eines Ehegatten im ehelichen Unterhalt eingeschlossen sind, ist in der Lehre umstritten. HEGNAUER (Grundriss des Eherechts, Bern 1987, S. 155) rechnet nur die Unterhaltskosten jener nichtgemeinsamen Kinder zum ehelichen Unterhalt, welche im gemeinsamen Haushalt wohnen. HAUSHEER/REUSSER/GEISER (a.a.O., N. 17 zu Art. 163) zählen nur jene Kosten darunter, welche den gemeinsamen Haushalt betreffen, und DESCHENAUX/STEINAUER (Le nouveau droit matrimonial, Bern 1987, S. 54) beziehen die ganzen Unterhaltskosten eines nichtgemeinsamen Kindes, für die nach Art. 278 Abs. 2 ZGB eine Beistandspflicht besteht, in den ehelichen Unterhalt ein. Durchwegs wird aber die Meinung abgelehnt, der eheliche Unterhalt könne auch jene Unterhaltspflichten eines Ehegatten gegenüber nichtgemeinsamen Kindern umfassen, für die er die Beistandspflicht seines Partners nicht beanspruchen kann und die weder im gemeinsamen Haushalt leben noch diesen betreffen.</w:t>
      </w:r>
    </w:p>
    <w:p>
      <w:r>
        <w:rPr>
          <w:b/>
        </w:rPr>
        <w:t>E. 5</w:t>
      </w:r>
    </w:p>
    <w:p>
      <w:r>
        <w:t>Was Roland H. betrifft, kann er nicht verlangen, dass seine Frau für den Unterhalt seines Kindes aufkomme. Eine entsprechende Beistandspflicht der Ehefrau besteht nur, soweit ihr das zuzumuten ist und es dem Ehemann nicht möglich ist, selber seiner Verpflichtung nachzukommen (HAUSHEER/REUSSER/GEISER, a.a.O., N. 27 zu Art. 159 ZGB ). Wie die Verurteilung wegen BGE 115 III 103 S. 107 Vernachlässigung der Unterstützungspflichten zeigt, wäre aber Roland H. bei gutem Willen sehr wohl in der Lage, selber für ein Einkommen zu sorgen, das es ihm erlaubte, für den Unterhalt seines Kindes aufzukommen. Er kann deshalb offensichtlich die Beistandspflicht seiner Ehefrau dafür nicht beanspruchen. Für die in Betreibung gesetzte Forderung ist somit ein pfändbarer Anspruch des Schuldners aus Art. 163 ZGB nicht gegeben. Daher war es richtig, den von der Gläubigerin behaupteten Anspruch auch nicht als bestrittene Forderung zu pfänden. Der Rekurs erweist sich in diesem Punkt als unbegründet.</w:t>
      </w:r>
    </w:p>
    <w:p>
      <w:r>
        <w:rPr>
          <w:b/>
        </w:rPr>
        <w:t>E. 6</w:t>
      </w:r>
    </w:p>
    <w:p>
      <w:r>
        <w:t>Das Bundesgericht hat in BGE 114 III 82 festgehalten, dass der Anspruch aus Art. 164 ZGB als solcher nicht pfändbar ist. Demgegenüber sind die einzelnen Leistungen nicht grundsätzlich den Gläubigern des anspruchsberechtigten Ehegatten entzogen (ebenso ISAAK MEIER, SJZ 85 (1989), S. 242; HEGNAUER, Grundriss des Eherechts, Bern 1987, S. 162; HAUSHEER/REUSSER/GEISER, a.a.O., N. 37 zu Art. 164 ZGB ; a. M. SCHWAGER, Der ausserordentliche Güterstand/Die Betreibung von Ehegatten/Der Schutz der Gläubiger gemäss Art. 193 ZGB , in: Hangartner (Hrsg.), Das neue Eherecht, VSIV Bd. 26, St. Gallen 1987, S. 247). Zu beachten bleibt allerdings, dass diese Beträge zweckgebunden sind und die Pfändung deshalb nicht möglich ist, wenn durch sie der Zweck vereitelt wird. Deshalb ist es namentlich nicht zulässig, Forderungen nach Art. 164 ZGB für voreheliche Schulden zu pfänden ( BGE 114 III 87 f.; a. M. ISAAK MEIER, SJZ 85 (1989), S. 242 und wohl auch HEGNAUER, Grundriss des Eherechts, Rz. 16.47, die dem besonderen Zweck von Art. 164 im Rahmen des ehelichen Unterhaltes und der persönlichen Bedürfnisse des Ehegatten zu wenig Rechnung tragen, im Ergebnis vielmehr von einer allgemeinen vermögensrechtlichen Umverteilung unter Ehegatten ausgehen). Art. 164 ZGB bezweckt, dem haushaltführenden, kinderbetreuenden oder im Beruf oder Gewerbe des anderen mitarbeitenden Ehegatten die Befriedigung der persönlichen Bedürfnisse im gleichen erweiterten Rahmen des ehelichen Unterhaltes zu ermöglichen wie seinem Ehepartner ( BGE 114 III 81 ). Die Unterhaltspflicht gegenüber einem nichtgemeinsamen Kind stellt aber kein persönliches Bedürfnis im Sinne dieser Bestimmung dar. Es handelt sich vielmehr um eine gesetzliche Pflicht. Eine Pfändung der auf Art. 164 ZGB gründenden Leistungen für eine Unterhaltsschuld würde den Anspruch seinem Zweck entfremden und ist BGE 115 III 103 S. 108 deshalb nicht zulässig. Mit Recht hat somit das Betreibungsamt keine Forderung nach Art. 164 ZGB gepfändet. Ist eine Pfändung des Anspruchs nach Art. 164 ZGB für die in Betreibung gesetzte Forderung vom Zweck her nicht zulässig, erübrigt es sich zu prüfen, ob die wirtschaftlichen Verhältnisse der Ehegatten einen entsprechenden Anspruch überhaupt zulassen.</w:t>
      </w:r>
    </w:p>
    <w:p>
      <w:r>
        <w:rPr>
          <w:b/>
        </w:rPr>
        <w:t>E. 7</w:t>
      </w:r>
    </w:p>
    <w:p>
      <w:r>
        <w:t>Zusammenfassend ist somit festzuhalten, dass der Betreibungsbeamte zu Recht davon ausgegangen ist, der Schuldner habe kein Erwerbseinkommen und es bestehe keine für die in Betreibung gesetzte Schuld pfändbare eherechtliche Unterhaltsforderung gegenüber der Ehefrau des Schuldners. Eine Aufteilung des Notbedarfs der Ehegatten H.-H. ist unter diesen nicht notwendig. Somit stellt sich - entgegen der Auffassung der Rekurrentin - die Frage gar nicht, ob ihre Unterhaltsforderung beim Schuldner als Teil des Notbedarfes zu berücksichtigen sei. Nicht weiter zu prüfen bleibt daher auch, ob die Betrachtungsweise der Rekurrentin zutrifft, wonach die Alimente, soweit sie für den Notbedarf des Gläubigers erforderlich sind, zum ehelichen Notbedarf gezählt werden, Obgleich nur der eine Ehegatte Alimentenschuldner ist (so ISAAK MEIER, Neues Eherecht und Schuldbetreibungsrecht, Zürich 1987, S. 118). Es sei immerhin vermerkt, dass diese Betrachtungsweise dazu führen dürfte, dass die nicht privilegierten Gläubiger beider Ehegatten hinter den Alimentengläubiger nur eines Partners zurückzutreten hätten. Die Alimentenschuld des einen Ehegatten würde den Notbedarf und damit den nach Art. 93 SchKG unpfändbaren Teil des Einkommens des anderen Ehegatten erhöhen. Das dürfte sich aber in dem Umfange nicht rechtfertigen, wie die Alimentenschuld des einen Ehegatten gemäss den Ausführungen unter Erwägung 4 nicht zum ehelichen Unterhalt gehört. Solange das Einkommen eines Ehegatten ausreicht, den Notbedarf vollständig zu decken, dürfte es diesfalls vielmehr als angemessen erscheinen, die Alimentenschuld zwar nicht zum gemeinsamen Notbedarf zu rechnen, dafür aber das für die Aufteilung massgebliche Einkommen des Pflichtigen um diesen Betrag zu vermindern. Dispositiv Demnach erkennt die Schuldbetreibungs- und Konkurskammer: Der Rekurs wird abgewiesen und der Entscheid der Kantonalen Aufsichtsbehörde für Schuldbetreibung und Konkurs des Kantons St. Gallen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